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Pr="00347F8C" w:rsidRDefault="00C57C6B" w:rsidP="00347F8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8BF02" wp14:editId="6064940E">
                <wp:simplePos x="0" y="0"/>
                <wp:positionH relativeFrom="column">
                  <wp:posOffset>-295275</wp:posOffset>
                </wp:positionH>
                <wp:positionV relativeFrom="paragraph">
                  <wp:posOffset>-400050</wp:posOffset>
                </wp:positionV>
                <wp:extent cx="6638925" cy="714375"/>
                <wp:effectExtent l="57150" t="38100" r="6667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1437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7B42E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7575ED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</w:t>
                            </w:r>
                            <w:r w:rsidR="007B42E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2C491E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تغذیه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31.5pt;width:522.7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" adj="5603,,581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7B42E1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7575ED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</w:t>
                      </w:r>
                      <w:r w:rsidR="007B42E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2C491E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تغذیه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Pr="008E4985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2  Titr"/>
          <w:b/>
          <w:bCs/>
          <w:sz w:val="20"/>
          <w:szCs w:val="20"/>
        </w:rPr>
      </w:pPr>
    </w:p>
    <w:p w:rsidR="00F5292D" w:rsidRDefault="00F5292D" w:rsidP="00647EDC">
      <w:pPr>
        <w:rPr>
          <w:rFonts w:cs="2  Titr"/>
          <w:b/>
          <w:bCs/>
          <w:sz w:val="20"/>
          <w:szCs w:val="20"/>
        </w:rPr>
      </w:pPr>
    </w:p>
    <w:p w:rsidR="00F5292D" w:rsidRPr="003C07A9" w:rsidRDefault="00F5292D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5089"/>
        <w:gridCol w:w="781"/>
        <w:gridCol w:w="1124"/>
        <w:gridCol w:w="746"/>
        <w:gridCol w:w="774"/>
      </w:tblGrid>
      <w:tr w:rsidR="007B42E1" w:rsidRPr="00D43575" w:rsidTr="007B42E1">
        <w:trPr>
          <w:trHeight w:val="330"/>
        </w:trPr>
        <w:tc>
          <w:tcPr>
            <w:tcW w:w="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B42E1" w:rsidRPr="000A1466" w:rsidRDefault="007B42E1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B42E1" w:rsidRPr="000A1466" w:rsidRDefault="00F5292D" w:rsidP="00F5292D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B42E1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7B42E1" w:rsidRPr="00C94B13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B42E1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7B42E1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7B42E1" w:rsidRPr="00C94B13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B42E1" w:rsidRPr="00C94B13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B42E1" w:rsidRDefault="007B42E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7B42E1" w:rsidRPr="00D43575" w:rsidTr="007B42E1">
        <w:trPr>
          <w:trHeight w:val="222"/>
        </w:trPr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0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رژيم درماني در بدخيمي‌ها و سرطان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بيماريهاي شايع سالمندي و مداخلات تغذيه‌اي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بعد از انجام اعمال جراحی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ind w:left="360"/>
              <w:jc w:val="center"/>
              <w:rPr>
                <w:rFonts w:cs="2  Titr"/>
                <w:sz w:val="20"/>
                <w:szCs w:val="20"/>
                <w:rtl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تغذيه در دوران بارداري</w:t>
            </w:r>
            <w:r>
              <w:rPr>
                <w:rFonts w:cs="2  Titr" w:hint="cs"/>
                <w:sz w:val="20"/>
                <w:szCs w:val="20"/>
                <w:rtl/>
              </w:rPr>
              <w:t>،</w:t>
            </w:r>
            <w:r w:rsidRPr="00347F8C">
              <w:rPr>
                <w:rFonts w:cs="2  Titr" w:hint="cs"/>
                <w:sz w:val="20"/>
                <w:szCs w:val="20"/>
                <w:rtl/>
              </w:rPr>
              <w:t xml:space="preserve"> شيردهي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tabs>
                <w:tab w:val="left" w:pos="1134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رژيم‌درماني در ديابت</w:t>
            </w:r>
            <w:r>
              <w:rPr>
                <w:rFonts w:cs="2  Titr" w:hint="cs"/>
                <w:sz w:val="20"/>
                <w:szCs w:val="20"/>
                <w:rtl/>
              </w:rPr>
              <w:t xml:space="preserve"> و </w:t>
            </w:r>
            <w:r w:rsidRPr="00347F8C">
              <w:rPr>
                <w:rFonts w:cs="2  Titr" w:hint="cs"/>
                <w:sz w:val="20"/>
                <w:szCs w:val="20"/>
                <w:rtl/>
              </w:rPr>
              <w:t>مديريت وزن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قلبی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کلیوی</w:t>
            </w:r>
            <w:r>
              <w:rPr>
                <w:rFonts w:cs="2  Titr" w:hint="cs"/>
                <w:sz w:val="20"/>
                <w:szCs w:val="20"/>
                <w:rtl/>
              </w:rPr>
              <w:t xml:space="preserve"> و پیوند کلیه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گوارشی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 بیماری های غدد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درآنمی های کمبود مس،ویتامین ای،کمبود آهن،کمبود پروتئین،کم خونی ناشی از عفونت های انگلی،آنمی سیدروبلاستیک،هموکروماتوز،ترومبوسیتوپنی پورپورا،تالاسمی،کم خونی ریشینیوز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مراقبت های تغذیه و رژیم درمانی بعد از انجام اعمال جراحی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rPr>
          <w:trHeight w:val="315"/>
        </w:trPr>
        <w:tc>
          <w:tcPr>
            <w:tcW w:w="95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0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ind w:left="72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تغذيه دوران كودكي</w:t>
            </w:r>
          </w:p>
        </w:tc>
        <w:tc>
          <w:tcPr>
            <w:tcW w:w="78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jc w:val="center"/>
              <w:rPr>
                <w:rFonts w:cs="2  Titr"/>
                <w:sz w:val="20"/>
                <w:szCs w:val="20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 xml:space="preserve">مراقبت های تغذیه و رژیم درمانی </w:t>
            </w:r>
            <w:r>
              <w:rPr>
                <w:rFonts w:cs="2  Titr" w:hint="cs"/>
                <w:sz w:val="20"/>
                <w:szCs w:val="20"/>
                <w:rtl/>
              </w:rPr>
              <w:t>در بیماری های متابولیک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حمايتهاي تغذيه‌اي در بخش مراقبت‌هاي ويژه</w:t>
            </w:r>
            <w:r w:rsidRPr="00347F8C">
              <w:rPr>
                <w:rFonts w:cs="2  Titr"/>
                <w:sz w:val="20"/>
                <w:szCs w:val="20"/>
              </w:rPr>
              <w:t xml:space="preserve"> ICU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shd w:val="clear" w:color="auto" w:fill="FFFFFF" w:themeFill="background1"/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 xml:space="preserve">اصول تغذيه‌اي  در بخش ‌مراقبت‌هاي ويژه كودكان </w:t>
            </w:r>
            <w:r w:rsidRPr="00347F8C">
              <w:rPr>
                <w:rFonts w:cs="2  Titr"/>
                <w:sz w:val="20"/>
                <w:szCs w:val="20"/>
              </w:rPr>
              <w:t>(PICU-NICU)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shd w:val="clear" w:color="auto" w:fill="FFFFFF" w:themeFill="background1"/>
              <w:ind w:left="36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حمايتهاي تغذيه‌اي در بيماران ترومايي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حمايت‌هاي تغذيه‌اي در بخش مراقبت‌هاي ويژه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ind w:left="36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تداخل غذا و دارو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shd w:val="clear" w:color="auto" w:fill="FFFFFF" w:themeFill="background1"/>
              <w:ind w:left="360"/>
              <w:jc w:val="both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 xml:space="preserve">تفسير و كاربرد آزمونهاي آزمايشگاهي در مشاوره تغذيه 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shd w:val="clear" w:color="auto" w:fill="FFFFFF" w:themeFill="background1"/>
              <w:ind w:left="360"/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347F8C">
              <w:rPr>
                <w:rFonts w:cs="2  Titr" w:hint="cs"/>
                <w:sz w:val="20"/>
                <w:szCs w:val="20"/>
                <w:rtl/>
              </w:rPr>
              <w:t>حمايتهاي تغذيه‌اي در سوختگي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47F8C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47F8C" w:rsidRDefault="007B42E1" w:rsidP="00347F8C">
            <w:pPr>
              <w:shd w:val="clear" w:color="auto" w:fill="FFFFFF" w:themeFill="background1"/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تغذیه در بحران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B42E1" w:rsidRPr="00D43575" w:rsidTr="007B42E1"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Default="007B42E1" w:rsidP="00347F8C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Default="007B42E1" w:rsidP="00347F8C">
            <w:pPr>
              <w:shd w:val="clear" w:color="auto" w:fill="FFFFFF" w:themeFill="background1"/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2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74" w:type="dxa"/>
            <w:tcBorders>
              <w:left w:val="single" w:sz="12" w:space="0" w:color="auto"/>
              <w:right w:val="single" w:sz="12" w:space="0" w:color="auto"/>
            </w:tcBorders>
          </w:tcPr>
          <w:p w:rsidR="007B42E1" w:rsidRPr="003C07A9" w:rsidRDefault="007B42E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Pr="00347F8C" w:rsidRDefault="009F5C66" w:rsidP="00347F8C">
      <w:pPr>
        <w:spacing w:line="560" w:lineRule="exact"/>
        <w:jc w:val="both"/>
        <w:rPr>
          <w:rFonts w:cs="B Yagut"/>
          <w:sz w:val="28"/>
          <w:szCs w:val="28"/>
        </w:rPr>
      </w:pPr>
    </w:p>
    <w:sectPr w:rsidR="009F5C66" w:rsidRPr="00347F8C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E6C"/>
    <w:multiLevelType w:val="hybridMultilevel"/>
    <w:tmpl w:val="6DFCE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A503D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EB78F2"/>
    <w:multiLevelType w:val="hybridMultilevel"/>
    <w:tmpl w:val="EB7E0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7603B7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84CFF"/>
    <w:multiLevelType w:val="hybridMultilevel"/>
    <w:tmpl w:val="6DFCE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734685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370C60"/>
    <w:multiLevelType w:val="hybridMultilevel"/>
    <w:tmpl w:val="4EDA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C491E"/>
    <w:rsid w:val="00347F8C"/>
    <w:rsid w:val="003C07A9"/>
    <w:rsid w:val="0042133E"/>
    <w:rsid w:val="00647EDC"/>
    <w:rsid w:val="007575ED"/>
    <w:rsid w:val="007B42E1"/>
    <w:rsid w:val="008E4985"/>
    <w:rsid w:val="009F5C66"/>
    <w:rsid w:val="00C57C6B"/>
    <w:rsid w:val="00F5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29D45-AA10-4657-AA66-03BBE75D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2016-02-06T05:58:00Z</dcterms:created>
  <dcterms:modified xsi:type="dcterms:W3CDTF">2016-02-24T09:48:00Z</dcterms:modified>
</cp:coreProperties>
</file>